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500" w:before="16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Введите название вашей статьи здесь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14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Имя О. Фамилия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(ORCID ID)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Имя О. Фамилия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(ORCID ID)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Имя О. Фамилия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(ORCID ID)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обозначает автора, ведущего переписку. Удалите данное примечание.</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Название Университета или Института, Город, Страна</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Название Университета или Института, Город, Страна</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40" w:before="360" w:line="240" w:lineRule="auto"/>
        <w:ind w:left="141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Аннотация должна состоять из одного абзаца длиной от 150 до 250 слов. В ней не должно быть отступов. Аннотация не должна выделяться курсивом, подчеркиванием и т.п. В аннотации не допускаются подзаголовки, цитирование, вычисления, формулы, и т.д. Аббревиатуры должны быть расшифрованы при первом использовании. Структура аннотации должна повторять структуру статьи и содержать: цель исследования, методы, основные результаты, выводы и обоснование новизны работы. Аннотация не должна дословно повторять текст статьи и должна быть самостоятельным источником информации.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54" w:before="0" w:line="240" w:lineRule="auto"/>
        <w:ind w:left="141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Ключевое слово1 · Ключевое слово2 · Ключевое слово3 ·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(перечислите от 3 до 6 ключевых слов или словосочетаний, отражающих основное смысловое содержание статьи, но при этом отличающихся от той комбинации слов, которая составляет название статьи). Удалите данное примечание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54" w:before="0" w:line="240" w:lineRule="auto"/>
        <w:ind w:left="1418" w:right="0" w:firstLine="0"/>
        <w:jc w:val="center"/>
        <w:rPr>
          <w:rFonts w:ascii="Times New Roman" w:cs="Times New Roman" w:eastAsia="Times New Roman" w:hAnsi="Times New Roman"/>
          <w:b w:val="1"/>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Как использовать шаблон</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54" w:before="0" w:line="240" w:lineRule="auto"/>
        <w:ind w:left="141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Используйте шаблон для написания статьи, заменяя приведённый в шаблоне текст на Ваш. В шаблоне подробно описаны разделы, которые необходимо использовать в рукописи. Уберите этот абзац и начните нумерацию разделов с 1. Заголовки разделов названы именно так, как они должны быть указаны в статье. Удалите данное примечание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54" w:before="0" w:line="240" w:lineRule="auto"/>
        <w:ind w:left="141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Первая часть вашей статьи, Введение</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Обратите внимание, что первый абзац раздела или подраздела не имеет отступа. Первые абзацы, следующие за таблицей, рисунком, уравнением также не имеют отступа. Однако последующие абзацы имеют отступ. Удалите данное примечание.</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Данный раздел является обязательным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 введении необходимо кратко описать исследуемую предметную область.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При этом должно быть не просто перечисление ранее опубликованных исследований, должен быть проведен их критический анализ, выделены различные точки зрения на исследуемую проблему, Вы должны найти «пробелы» в научном знании, представить альтернативную точку зрения и т.п. Необходимо очень ясно сформулировать ключевые проблемы исследования, в том числе в виде исследовательских вопросов. Ссылки на цитируемые источники из списка литературы при этом обязательны.</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Также настоятельно рекомендуем кратко описать последующие разделы рукописи, чтобы у читателя Вашей статьи сформировалось краткое представление о Вашем исследовании.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Materials and Method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Данный раздел является обязательным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этом разделе должно быть представлено детальное описание исследовательской конструкции: (1) точная постановка цели и задач исследования; (2) детальное описание и обоснование используемого методологического аппарата (количественные и качественные методы); (3) детальное описание методов и приемов, используемых для сбора и анализа оригинальных данных; (4) описание возможных методологических ограничений и их влияния на целостность и обоснованность полученных результатов. Если в статье предлагается новый метод, то Вам необходимо подробно его описать.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 можете познакомиться с разными типами исследовательских дизайнов, перейдя по следующей ссылке: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https://library.sacredheart.edu/c.php?g=29803&amp;p=185902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2"/>
        <w:numPr>
          <w:ilvl w:val="1"/>
          <w:numId w:val="4"/>
        </w:num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Подраздел </w:t>
      </w:r>
      <w:r w:rsidDel="00000000" w:rsidR="00000000" w:rsidRPr="00000000">
        <w:rPr>
          <w:rFonts w:ascii="Times New Roman" w:cs="Times New Roman" w:eastAsia="Times New Roman" w:hAnsi="Times New Roman"/>
          <w:i w:val="0"/>
          <w:sz w:val="20"/>
          <w:szCs w:val="20"/>
          <w:rtl w:val="0"/>
        </w:rPr>
        <w:t xml:space="preserve">(здесь Вы можете указать подзаголовок раздела при его наличии или удалить строку).</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Текст подраздела</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Обратите внимание, что первый абзац раздела или подраздела не имеет отступа. Первые абзацы, следующие за таблицей, рисунком, уравнением также не имеют отступа. Однако последующие абзацы имеют отступ. Удалите данное примечание.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0" w:right="0" w:firstLine="142"/>
        <w:jc w:val="both"/>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Subsubsection. Подподраздел.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Текст абзаца следует за заголовком подраздела, но не должен быть выделен курсивом.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Данный раздел является обязательным.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Цель раздела — дать ответ на поставленный исследовательский вопрос / доказать гипотезу. Раздел «Результаты»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ранее обозначенных материалов и методов.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Результаты могут быть представлены как в виде текста, так и в обработанном виде (таблицы, графики, диаграммы, фотографии, рисунки и т.п.).</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Маркированные списки выглядят так:</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19" w:right="0" w:firstLine="284.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Текст научной статьи;</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21" w:right="0" w:firstLine="284.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Текст научной статьи.</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15"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Нумерованные списки выглядят так:</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19" w:right="0" w:firstLine="284.00000000000006"/>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Пункт первый;</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21" w:right="0" w:firstLine="284.00000000000006"/>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Пункт второй.</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Текст продолжается здесь.</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Таблица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Заголовок таблицы всегда размещается над таблицей.</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633.0" w:type="dxa"/>
        <w:jc w:val="center"/>
        <w:tblLayout w:type="fixed"/>
        <w:tblLook w:val="0000"/>
      </w:tblPr>
      <w:tblGrid>
        <w:gridCol w:w="1248"/>
        <w:gridCol w:w="1254"/>
        <w:gridCol w:w="602"/>
        <w:gridCol w:w="613"/>
        <w:gridCol w:w="781"/>
        <w:gridCol w:w="613"/>
        <w:gridCol w:w="783"/>
        <w:gridCol w:w="739"/>
        <w:tblGridChange w:id="0">
          <w:tblGrid>
            <w:gridCol w:w="1248"/>
            <w:gridCol w:w="1254"/>
            <w:gridCol w:w="602"/>
            <w:gridCol w:w="613"/>
            <w:gridCol w:w="781"/>
            <w:gridCol w:w="613"/>
            <w:gridCol w:w="783"/>
            <w:gridCol w:w="739"/>
          </w:tblGrid>
        </w:tblGridChange>
      </w:tblGrid>
      <w:tr>
        <w:trPr>
          <w:cantSplit w:val="0"/>
          <w:trHeight w:val="204"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Заголовок колонки</w:t>
            </w:r>
          </w:p>
        </w:tc>
        <w:tc>
          <w:tcPr>
            <w:vMerge w:val="restart"/>
            <w:tcBorders>
              <w:top w:color="000000" w:space="0" w:sz="4" w:val="single"/>
              <w:bottom w:color="000000" w:space="0" w:sz="4" w:val="single"/>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Заголовок колонки</w:t>
            </w:r>
          </w:p>
        </w:tc>
        <w:tc>
          <w:tcPr>
            <w:gridSpan w:val="3"/>
            <w:tcBorders>
              <w:top w:color="000000" w:space="0" w:sz="4" w:val="single"/>
              <w:bottom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Заголовок колонки</w:t>
            </w:r>
          </w:p>
        </w:tc>
        <w:tc>
          <w:tcPr>
            <w:gridSpan w:val="3"/>
            <w:tcBorders>
              <w:top w:color="000000" w:space="0" w:sz="4" w:val="single"/>
              <w:bottom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Заголовок колонки</w:t>
            </w:r>
          </w:p>
        </w:tc>
      </w:tr>
      <w:tr>
        <w:trPr>
          <w:cantSplit w:val="0"/>
          <w:trHeight w:val="333"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bottom w:color="000000"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2017</w:t>
            </w:r>
          </w:p>
        </w:tc>
        <w:tc>
          <w:tcPr>
            <w:tcBorders>
              <w:top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2018</w:t>
            </w:r>
          </w:p>
        </w:tc>
        <w:tc>
          <w:tcPr>
            <w:tcBorders>
              <w:top w:color="000000" w:space="0" w:sz="4" w:val="single"/>
              <w:bottom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w:t>
            </w:r>
          </w:p>
        </w:tc>
        <w:tc>
          <w:tcPr>
            <w:tcBorders>
              <w:top w:color="000000" w:space="0" w:sz="4" w:val="single"/>
              <w:bottom w:color="000000" w:space="0" w:sz="4"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2017</w:t>
            </w:r>
          </w:p>
        </w:tc>
        <w:tc>
          <w:tcPr>
            <w:tcBorders>
              <w:top w:color="000000" w:space="0" w:sz="4" w:val="single"/>
              <w:bottom w:color="000000" w:space="0" w:sz="4" w:val="single"/>
            </w:tcBorders>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2018</w:t>
            </w:r>
          </w:p>
        </w:tc>
        <w:tc>
          <w:tcPr>
            <w:tcBorders>
              <w:top w:color="000000" w:space="0" w:sz="4" w:val="single"/>
              <w:bottom w:color="000000" w:space="0" w:sz="4" w:val="single"/>
            </w:tcBorders>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w:t>
            </w:r>
          </w:p>
        </w:tc>
      </w:tr>
      <w:tr>
        <w:trPr>
          <w:cantSplit w:val="0"/>
          <w:trHeight w:val="199"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c>
          <w:tcPr>
            <w:tcBorders>
              <w:top w:color="000000" w:space="0" w:sz="4" w:val="single"/>
              <w:bottom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tcBorders>
              <w:top w:color="000000" w:space="0" w:sz="4" w:val="single"/>
              <w:bottom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4" w:val="single"/>
              <w:bottom w:color="000000" w:space="0" w:sz="4" w:val="single"/>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67.04</w:t>
            </w:r>
          </w:p>
        </w:tc>
        <w:tc>
          <w:tcPr>
            <w:tcBorders>
              <w:top w:color="000000" w:space="0" w:sz="4" w:val="single"/>
              <w:bottom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68.91</w:t>
            </w:r>
          </w:p>
        </w:tc>
        <w:tc>
          <w:tcPr>
            <w:tcBorders>
              <w:top w:color="000000" w:space="0" w:sz="4" w:val="single"/>
              <w:bottom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71.58</w:t>
            </w:r>
          </w:p>
        </w:tc>
      </w:tr>
      <w:tr>
        <w:trPr>
          <w:cantSplit w:val="0"/>
          <w:trHeight w:val="353"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c>
          <w:tcPr>
            <w:tcBorders>
              <w:top w:color="000000" w:space="0" w:sz="4" w:val="single"/>
              <w:bottom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w:t>
            </w:r>
          </w:p>
        </w:tc>
        <w:tc>
          <w:tcPr>
            <w:tcBorders>
              <w:top w:color="000000" w:space="0" w:sz="4" w:val="single"/>
              <w:bottom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4" w:val="single"/>
              <w:bottom w:color="000000" w:space="0" w:sz="4" w:val="single"/>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54.96</w:t>
            </w:r>
          </w:p>
        </w:tc>
        <w:tc>
          <w:tcPr>
            <w:tcBorders>
              <w:top w:color="000000" w:space="0" w:sz="4" w:val="single"/>
              <w:bottom w:color="000000"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53.74</w:t>
            </w:r>
          </w:p>
        </w:tc>
        <w:tc>
          <w:tcPr>
            <w:tcBorders>
              <w:top w:color="000000" w:space="0" w:sz="4" w:val="single"/>
              <w:bottom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52.06</w:t>
            </w:r>
          </w:p>
        </w:tc>
      </w:tr>
      <w:tr>
        <w:trPr>
          <w:cantSplit w:val="0"/>
          <w:trHeight w:val="203"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4" w:val="single"/>
              <w:bottom w:color="000000" w:space="0" w:sz="4"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tcBorders>
              <w:top w:color="000000" w:space="0" w:sz="4" w:val="single"/>
              <w:bottom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c>
          <w:tcPr>
            <w:tcBorders>
              <w:top w:color="000000" w:space="0" w:sz="4" w:val="single"/>
              <w:bottom w:color="000000" w:space="0" w:sz="4"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72.1</w:t>
            </w:r>
          </w:p>
        </w:tc>
        <w:tc>
          <w:tcPr>
            <w:tcBorders>
              <w:top w:color="000000" w:space="0" w:sz="4" w:val="single"/>
              <w:bottom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74.48</w:t>
            </w:r>
          </w:p>
        </w:tc>
        <w:tc>
          <w:tcPr>
            <w:tcBorders>
              <w:top w:color="000000" w:space="0" w:sz="4" w:val="single"/>
              <w:bottom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77.06</w:t>
            </w:r>
          </w:p>
        </w:tc>
      </w:tr>
      <w:tr>
        <w:trPr>
          <w:cantSplit w:val="0"/>
          <w:trHeight w:val="353"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c>
          <w:tcPr>
            <w:tcBorders>
              <w:top w:color="000000" w:space="0" w:sz="4" w:val="single"/>
              <w:bottom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tcBorders>
              <w:top w:color="000000" w:space="0" w:sz="4" w:val="single"/>
              <w:bottom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tcBorders>
              <w:top w:color="000000" w:space="0" w:sz="4" w:val="single"/>
              <w:bottom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90.25</w:t>
            </w:r>
          </w:p>
        </w:tc>
        <w:tc>
          <w:tcPr>
            <w:tcBorders>
              <w:top w:color="000000" w:space="0" w:sz="4" w:val="single"/>
              <w:bottom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91.24</w:t>
            </w:r>
          </w:p>
        </w:tc>
        <w:tc>
          <w:tcPr>
            <w:tcBorders>
              <w:top w:color="000000" w:space="0" w:sz="4" w:val="single"/>
              <w:bottom w:color="000000" w:space="0" w:sz="4"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93.06</w:t>
            </w:r>
          </w:p>
        </w:tc>
      </w:tr>
      <w:tr>
        <w:trPr>
          <w:cantSplit w:val="0"/>
          <w:trHeight w:val="377"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tcBorders>
              <w:top w:color="000000" w:space="0" w:sz="4" w:val="single"/>
              <w:bottom w:color="000000" w:space="0" w:sz="4"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w:t>
            </w:r>
          </w:p>
        </w:tc>
        <w:tc>
          <w:tcPr>
            <w:tcBorders>
              <w:top w:color="000000" w:space="0" w:sz="4" w:val="single"/>
              <w:bottom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w:t>
            </w:r>
          </w:p>
        </w:tc>
        <w:tc>
          <w:tcPr>
            <w:tcBorders>
              <w:top w:color="000000" w:space="0" w:sz="4" w:val="single"/>
              <w:bottom w:color="000000" w:space="0" w:sz="4"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27.78</w:t>
            </w:r>
          </w:p>
        </w:tc>
        <w:tc>
          <w:tcPr>
            <w:tcBorders>
              <w:top w:color="000000" w:space="0" w:sz="4" w:val="single"/>
              <w:bottom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26.61</w:t>
            </w:r>
          </w:p>
        </w:tc>
        <w:tc>
          <w:tcPr>
            <w:tcBorders>
              <w:top w:color="000000" w:space="0" w:sz="4" w:val="single"/>
              <w:bottom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24.72</w:t>
            </w:r>
          </w:p>
        </w:tc>
      </w:tr>
      <w:tr>
        <w:trPr>
          <w:cantSplit w:val="0"/>
          <w:trHeight w:val="193"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w:t>
            </w:r>
          </w:p>
        </w:tc>
        <w:tc>
          <w:tcPr>
            <w:tcBorders>
              <w:top w:color="000000" w:space="0" w:sz="4" w:val="single"/>
              <w:bottom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w:t>
            </w:r>
          </w:p>
        </w:tc>
        <w:tc>
          <w:tcPr>
            <w:tcBorders>
              <w:top w:color="000000" w:space="0" w:sz="4" w:val="single"/>
              <w:bottom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w:t>
            </w:r>
          </w:p>
        </w:tc>
        <w:tc>
          <w:tcPr>
            <w:tcBorders>
              <w:top w:color="000000" w:space="0" w:sz="4" w:val="single"/>
              <w:bottom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48.74</w:t>
            </w:r>
          </w:p>
        </w:tc>
        <w:tc>
          <w:tcPr>
            <w:tcBorders>
              <w:top w:color="000000" w:space="0" w:sz="4" w:val="single"/>
              <w:bottom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50.65</w:t>
            </w:r>
          </w:p>
        </w:tc>
        <w:tc>
          <w:tcPr>
            <w:tcBorders>
              <w:top w:color="000000" w:space="0" w:sz="4" w:val="single"/>
              <w:bottom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52.84</w:t>
            </w:r>
          </w:p>
        </w:tc>
      </w:tr>
      <w:tr>
        <w:trPr>
          <w:cantSplit w:val="0"/>
          <w:trHeight w:val="376"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4" w:val="single"/>
              <w:bottom w:color="000000" w:space="0" w:sz="4"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c>
          <w:tcPr>
            <w:tcBorders>
              <w:top w:color="000000" w:space="0" w:sz="4" w:val="single"/>
              <w:bottom w:color="000000" w:space="0" w:sz="4" w:val="single"/>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w:t>
            </w:r>
          </w:p>
        </w:tc>
        <w:tc>
          <w:tcPr>
            <w:tcBorders>
              <w:top w:color="000000" w:space="0" w:sz="4" w:val="single"/>
              <w:bottom w:color="000000"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57.2</w:t>
            </w:r>
          </w:p>
        </w:tc>
        <w:tc>
          <w:tcPr>
            <w:tcBorders>
              <w:top w:color="000000" w:space="0" w:sz="4" w:val="single"/>
              <w:bottom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60.82</w:t>
            </w:r>
          </w:p>
        </w:tc>
        <w:tc>
          <w:tcPr>
            <w:tcBorders>
              <w:top w:color="000000" w:space="0" w:sz="4" w:val="single"/>
              <w:bottom w:color="000000" w:space="0" w:sz="4" w:val="single"/>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63.47</w:t>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Источник: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Формулы необходимо размещать отдельной строкой и выравнивать по центру. Каждая формула должна быть пронумерована (номер формулы помещается круглых скобках).</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tabs>
          <w:tab w:val="center" w:pos="3204"/>
          <w:tab w:val="right" w:pos="6634"/>
        </w:tabs>
        <w:spacing w:after="240" w:befor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ab/>
        <w:t xml:space="preserve">                                             x</w:t>
      </w:r>
      <w:r w:rsidDel="00000000" w:rsidR="00000000" w:rsidRPr="00000000">
        <w:rPr>
          <w:rFonts w:ascii="Times New Roman" w:cs="Times New Roman" w:eastAsia="Times New Roman" w:hAnsi="Times New Roman"/>
          <w:color w:val="000000"/>
          <w:rtl w:val="0"/>
        </w:rPr>
        <w:t xml:space="preserve"> + </w:t>
      </w:r>
      <w:r w:rsidDel="00000000" w:rsidR="00000000" w:rsidRPr="00000000">
        <w:rPr>
          <w:rFonts w:ascii="Times New Roman" w:cs="Times New Roman" w:eastAsia="Times New Roman" w:hAnsi="Times New Roman"/>
          <w:i w:val="1"/>
          <w:color w:val="000000"/>
          <w:rtl w:val="0"/>
        </w:rPr>
        <w:t xml:space="preserve">y</w:t>
      </w:r>
      <w:r w:rsidDel="00000000" w:rsidR="00000000" w:rsidRPr="00000000">
        <w:rPr>
          <w:rFonts w:ascii="Times New Roman" w:cs="Times New Roman" w:eastAsia="Times New Roman" w:hAnsi="Times New Roman"/>
          <w:color w:val="000000"/>
          <w:rtl w:val="0"/>
        </w:rPr>
        <w:t xml:space="preserve"> = </w:t>
      </w:r>
      <w:r w:rsidDel="00000000" w:rsidR="00000000" w:rsidRPr="00000000">
        <w:rPr>
          <w:rFonts w:ascii="Times New Roman" w:cs="Times New Roman" w:eastAsia="Times New Roman" w:hAnsi="Times New Roman"/>
          <w:i w:val="1"/>
          <w:color w:val="000000"/>
          <w:rtl w:val="0"/>
        </w:rPr>
        <w:t xml:space="preserve">z</w:t>
      </w:r>
      <w:r w:rsidDel="00000000" w:rsidR="00000000" w:rsidRPr="00000000">
        <w:rPr>
          <w:rFonts w:ascii="Times New Roman" w:cs="Times New Roman" w:eastAsia="Times New Roman" w:hAnsi="Times New Roman"/>
          <w:color w:val="000000"/>
          <w:rtl w:val="0"/>
        </w:rPr>
        <w:tab/>
        <w:tab/>
        <w:tab/>
        <w:tab/>
        <w:t xml:space="preserve">(1)</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После формулы требуются пояснения использованных символов. Переходом служит стандартное слово “где”. Все пояснения начинаются с новой строки и ставятся в том порядке, в котором символ появляется в формуле.</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084935" cy="1723332"/>
            <wp:effectExtent b="0" l="0" r="0" t="0"/>
            <wp:docPr descr="Graphical user interface, application, Word&#10;&#10;Description automatically generated" id="1" name="image1.jpg"/>
            <a:graphic>
              <a:graphicData uri="http://schemas.openxmlformats.org/drawingml/2006/picture">
                <pic:pic>
                  <pic:nvPicPr>
                    <pic:cNvPr descr="Graphical user interface, application, Word&#10;&#10;Description automatically generated" id="0" name="image1.jpg"/>
                    <pic:cNvPicPr preferRelativeResize="0"/>
                  </pic:nvPicPr>
                  <pic:blipFill>
                    <a:blip r:embed="rId7"/>
                    <a:srcRect b="0" l="0" r="0" t="0"/>
                    <a:stretch>
                      <a:fillRect/>
                    </a:stretch>
                  </pic:blipFill>
                  <pic:spPr>
                    <a:xfrm>
                      <a:off x="0" y="0"/>
                      <a:ext cx="4084935" cy="1723332"/>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widowControl w:val="0"/>
        <w:spacing w:after="245"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Рис. 1.</w:t>
      </w:r>
      <w:r w:rsidDel="00000000" w:rsidR="00000000" w:rsidRPr="00000000">
        <w:rPr>
          <w:rFonts w:ascii="Times New Roman" w:cs="Times New Roman" w:eastAsia="Times New Roman" w:hAnsi="Times New Roman"/>
          <w:sz w:val="20"/>
          <w:szCs w:val="20"/>
          <w:rtl w:val="0"/>
        </w:rPr>
        <w:t xml:space="preserve"> Название рисунка всегда помещается под изображением. Короткие подписи выравниваются по центру, длинные - по ширине. </w:t>
      </w:r>
      <w:r w:rsidDel="00000000" w:rsidR="00000000" w:rsidRPr="00000000">
        <w:rPr>
          <w:rFonts w:ascii="Times New Roman" w:cs="Times New Roman" w:eastAsia="Times New Roman" w:hAnsi="Times New Roman"/>
          <w:i w:val="1"/>
          <w:sz w:val="20"/>
          <w:szCs w:val="20"/>
          <w:rtl w:val="0"/>
        </w:rPr>
        <w:t xml:space="preserve">Источник:</w:t>
      </w:r>
      <w:r w:rsidDel="00000000" w:rsidR="00000000" w:rsidRPr="00000000">
        <w:rPr>
          <w:rFonts w:ascii="Times New Roman" w:cs="Times New Roman" w:eastAsia="Times New Roman" w:hAnsi="Times New Roman"/>
          <w:sz w:val="20"/>
          <w:szCs w:val="20"/>
          <w:rtl w:val="0"/>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Каждый график, таблица, рисунок и т.п. должны быть </w:t>
      </w:r>
      <w:r w:rsidDel="00000000" w:rsidR="00000000" w:rsidRPr="00000000">
        <w:rPr>
          <w:rFonts w:ascii="Times New Roman" w:cs="Times New Roman" w:eastAsia="Times New Roman" w:hAnsi="Times New Roman"/>
          <w:sz w:val="20"/>
          <w:szCs w:val="20"/>
          <w:rtl w:val="0"/>
        </w:rPr>
        <w:t xml:space="preserve">указаны</w:t>
      </w:r>
      <w:r w:rsidDel="00000000" w:rsidR="00000000" w:rsidRPr="00000000">
        <w:rPr>
          <w:rFonts w:ascii="Times New Roman" w:cs="Times New Roman" w:eastAsia="Times New Roman" w:hAnsi="Times New Roman"/>
          <w:color w:val="000000"/>
          <w:sz w:val="20"/>
          <w:szCs w:val="20"/>
          <w:rtl w:val="0"/>
        </w:rPr>
        <w:t xml:space="preserve"> и описаны в тексте. </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Данный раздел является обязательным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Раздел «Дискуссия» подразумевает критическое «обсуждение» полученных результатов в контексте опубликованных вторичных данных и литературы.Данный раздел содержит интерпретацию, сравнение результатов других исследователей или ранее полученных результатов самого автора статьи с полученными результатами. Цель данного раздела — интерпретировать полученные в ходе исследования результаты в контексте того, что ранее уже было опубликовано по проблеме расследования.</w:t>
      </w:r>
    </w:p>
    <w:p w:rsidR="00000000" w:rsidDel="00000000" w:rsidP="00000000" w:rsidRDefault="00000000" w:rsidRPr="00000000" w14:paraId="00000077">
      <w:pPr>
        <w:pBdr>
          <w:top w:space="0" w:sz="0" w:val="nil"/>
          <w:left w:space="0" w:sz="0" w:val="nil"/>
          <w:bottom w:space="0" w:sz="0" w:val="nil"/>
          <w:right w:space="0" w:sz="0" w:val="nil"/>
          <w:between w:space="0" w:sz="0" w:val="nil"/>
        </w:pBdr>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Обращаем Ваше внимание на то, что в разделе «Дискуссия» не должны содержаться новые данные, не представленные в разделе «Результаты».</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Данный раздел является обязательным. Заключение должно быть ясным и содержать краткую формулировку результатов исследования. В этом разделе необходимо сопоставить полученные результаты с обозначенной в начале работы целью и задачами.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данном разделе должна быть указана практическая значимость исследования. Кроме того, раздел должен содержать описание перспектив дальнейших исследований в рамках заявленной проблемы.</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данном разделе не должна повторяться информация, содержащаяся в аннотации. Кроме того, данный раздел не должен содержать простого перечисления полученных результатов.</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Acknowledgments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Данный раздел не является обязательным. Если он Вам не нужен то, пожалуйста, удалите данный раздел из текста Вашей рукописи научной статьи. Вы можете добавить данный раздел, если считаете необходимым выразить признательность отдельным людям за помощь в подготовке и написании статьи (критические замечания, вычитку рукописи и т.п.), за техническую помощь (в оформлении статьи).</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Кроме того, в данном разделе можно выразить благодарность различным организациям за помощь в проведении исследования (если исследование проводилось на специальном оборудовании, с использованием техники, принадлежащей какой-либо организации, на территории какой-либо организации и т.п.). А также Вы можете поблагодарить за финансовую помощь (указывается, за счет каких грантов, стипендий, контрактов было проведено исследование). Как правило, указывается номер и/или название гранта, стипендии, контракта и т.п.</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В списке литературы перечисляются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single"/>
          <w:vertAlign w:val="baseline"/>
          <w:rtl w:val="0"/>
        </w:rPr>
        <w:t xml:space="preserve">все</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источники, и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single"/>
          <w:vertAlign w:val="baseline"/>
          <w:rtl w:val="0"/>
        </w:rPr>
        <w:t xml:space="preserve">только те</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источники, на которые есть ссылки в тексте статьи. Внутритекстовые ссылки на литературу, как и сам список литературы, оформляются исключительно по стандарту APA. Список литературы должен быть оформлен в порядке упоминания в тексте.</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Минимальное количество источников — 15. Самоцитирование допустимо при необходимости, но не более 2 источников в списке. Среди цитируемых источников в том числе необходимо использовать англоязычные и русскоязычные источники, опубликованные в течение последних 5 лет в рецензируемых научных изданиях. Старайтесь, чтобы минимальная доля таких источников была не менее 50 % от числа всех цитируемых в статье источников. Источники должны быть доступны для поиска.  Если у источника есть DOI, его необходимо указывать. Если источник, на который вы ссылаетесь, доступен онлайн, укажите гиперссылку (URL) на страницу с полными выходными данными источника, чтобы была возможность уточнить недостающую информацию.</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Цитирование зарубежных источников помещает статью в контекст других исследований/работ в данной научной области (которые были опубликованы в международных академических журналах). Показывает, что рукопись наращивает и дополняет международный объем знаний. Все вышеизложенное помогает гарантировать, что ваша статья является МЕЖДУНАРОДНОЙ по своей направленности, даже если она является исследованием только в одной стране или рабочей среде.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Список литературы просьба оформлять в соответствии с примером статьи.</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Удалите данное примечание.</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ПРИМЕР ОФОРМЛЕНИЯ СПИСКА ЛИТЕРАТУРЫ</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N.A. Nazarbaev, Vzglyad v budushchee: modernizatsiya obshchestvennogo soznaniya [Looking into the Future: Modernization of Public Consciousness]. Accessed on: August 04, 2021. [Online]. Available: https://www.akorda.kz/ru/events/akorda_news/press_conferences/statya-glavy-gosudarstva-vzglyad-v-budushchee-modernizaciya-obshchestvennogo-soznaniya</w:t>
      </w:r>
    </w:p>
    <w:p w:rsidR="00000000" w:rsidDel="00000000" w:rsidP="00000000" w:rsidRDefault="00000000" w:rsidRPr="00000000" w14:paraId="0000008A">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G.B. Kornetov (ed.), Pedagogika i obrazovanie v zerkale istoricheskoi refleksii [Pedagogy and Education in the Mirror of Historical Reflection] (ASMO, Moscow, 2015)</w:t>
      </w:r>
    </w:p>
    <w:p w:rsidR="00000000" w:rsidDel="00000000" w:rsidP="00000000" w:rsidRDefault="00000000" w:rsidRPr="00000000" w14:paraId="0000008B">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A.A. Romanov, Pedagogicheskie podvizhniki v perelomnye epokhi XX veka. Izbrannye nauchnye stati i ocherki [Pedagogical Devotees in the Turning Points of the 20</w:t>
      </w:r>
      <w:r w:rsidDel="00000000" w:rsidR="00000000" w:rsidRPr="00000000">
        <w:rPr>
          <w:rFonts w:ascii="Times New Roman" w:cs="Times New Roman" w:eastAsia="Times New Roman" w:hAnsi="Times New Roman"/>
          <w:highlight w:val="yellow"/>
          <w:vertAlign w:val="superscript"/>
          <w:rtl w:val="0"/>
        </w:rPr>
        <w:t xml:space="preserve">th</w:t>
      </w:r>
      <w:r w:rsidDel="00000000" w:rsidR="00000000" w:rsidRPr="00000000">
        <w:rPr>
          <w:rFonts w:ascii="Times New Roman" w:cs="Times New Roman" w:eastAsia="Times New Roman" w:hAnsi="Times New Roman"/>
          <w:highlight w:val="yellow"/>
          <w:rtl w:val="0"/>
        </w:rPr>
        <w:t xml:space="preserve"> Century. Selected scientific articles and essays] (“Concept” Publishers, Ryazan, 2017)</w:t>
      </w:r>
    </w:p>
    <w:p w:rsidR="00000000" w:rsidDel="00000000" w:rsidP="00000000" w:rsidRDefault="00000000" w:rsidRPr="00000000" w14:paraId="0000008C">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K.S. Maslov, V svete nezrimogo: zhizn i sudba A. A. Krogiusa [In the Light of the Invisible: the Life and Fate of A.A. Krogius] (Tallinn University Publishers, Tallinn, 2014)</w:t>
      </w:r>
    </w:p>
    <w:p w:rsidR="00000000" w:rsidDel="00000000" w:rsidP="00000000" w:rsidRDefault="00000000" w:rsidRPr="00000000" w14:paraId="0000008D">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A.A. Romanov, K.K. Zhampeisova, Bul. Abay Kazakh National Pedag. Univ. Pedag. Sci. Ser. </w:t>
      </w:r>
      <w:r w:rsidDel="00000000" w:rsidR="00000000" w:rsidRPr="00000000">
        <w:rPr>
          <w:rFonts w:ascii="Times New Roman" w:cs="Times New Roman" w:eastAsia="Times New Roman" w:hAnsi="Times New Roman"/>
          <w:b w:val="1"/>
          <w:highlight w:val="yellow"/>
          <w:rtl w:val="0"/>
        </w:rPr>
        <w:t xml:space="preserve">2(66)</w:t>
      </w:r>
      <w:r w:rsidDel="00000000" w:rsidR="00000000" w:rsidRPr="00000000">
        <w:rPr>
          <w:rFonts w:ascii="Times New Roman" w:cs="Times New Roman" w:eastAsia="Times New Roman" w:hAnsi="Times New Roman"/>
          <w:highlight w:val="yellow"/>
          <w:rtl w:val="0"/>
        </w:rPr>
        <w:t xml:space="preserve">, 210-216 (2020)</w:t>
      </w:r>
    </w:p>
    <w:p w:rsidR="00000000" w:rsidDel="00000000" w:rsidP="00000000" w:rsidRDefault="00000000" w:rsidRPr="00000000" w14:paraId="0000008E">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N.Yu. Stoyukhina, Psy. Pedag. Search </w:t>
      </w:r>
      <w:r w:rsidDel="00000000" w:rsidR="00000000" w:rsidRPr="00000000">
        <w:rPr>
          <w:rFonts w:ascii="Times New Roman" w:cs="Times New Roman" w:eastAsia="Times New Roman" w:hAnsi="Times New Roman"/>
          <w:b w:val="1"/>
          <w:highlight w:val="yellow"/>
          <w:rtl w:val="0"/>
        </w:rPr>
        <w:t xml:space="preserve">2(34)</w:t>
      </w:r>
      <w:r w:rsidDel="00000000" w:rsidR="00000000" w:rsidRPr="00000000">
        <w:rPr>
          <w:rFonts w:ascii="Times New Roman" w:cs="Times New Roman" w:eastAsia="Times New Roman" w:hAnsi="Times New Roman"/>
          <w:highlight w:val="yellow"/>
          <w:rtl w:val="0"/>
        </w:rPr>
        <w:t xml:space="preserve">, 118-128 (2015)</w:t>
      </w:r>
    </w:p>
    <w:p w:rsidR="00000000" w:rsidDel="00000000" w:rsidP="00000000" w:rsidRDefault="00000000" w:rsidRPr="00000000" w14:paraId="0000008F">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D.P. Todes, Ivan Pavlov: A Russian Life in Science (Oxford University Press, New York, 2014)</w:t>
      </w:r>
    </w:p>
    <w:p w:rsidR="00000000" w:rsidDel="00000000" w:rsidP="00000000" w:rsidRDefault="00000000" w:rsidRPr="00000000" w14:paraId="00000090">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Ivan Pavlov – Biographical. Accessed on: August 04, 2021. [Online]. Available: https://www.nobelprize.org/prizes/medicine/1904/pavlov/biographical/</w:t>
      </w:r>
    </w:p>
    <w:p w:rsidR="00000000" w:rsidDel="00000000" w:rsidP="00000000" w:rsidRDefault="00000000" w:rsidRPr="00000000" w14:paraId="00000091">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N.A. Astashova, Psy. Pedag. Search </w:t>
      </w:r>
      <w:r w:rsidDel="00000000" w:rsidR="00000000" w:rsidRPr="00000000">
        <w:rPr>
          <w:rFonts w:ascii="Times New Roman" w:cs="Times New Roman" w:eastAsia="Times New Roman" w:hAnsi="Times New Roman"/>
          <w:b w:val="1"/>
          <w:highlight w:val="yellow"/>
          <w:rtl w:val="0"/>
        </w:rPr>
        <w:t xml:space="preserve">3(47)</w:t>
      </w:r>
      <w:r w:rsidDel="00000000" w:rsidR="00000000" w:rsidRPr="00000000">
        <w:rPr>
          <w:rFonts w:ascii="Times New Roman" w:cs="Times New Roman" w:eastAsia="Times New Roman" w:hAnsi="Times New Roman"/>
          <w:highlight w:val="yellow"/>
          <w:rtl w:val="0"/>
        </w:rPr>
        <w:t xml:space="preserve">, 15-29 (2018)</w:t>
      </w:r>
    </w:p>
    <w:p w:rsidR="00000000" w:rsidDel="00000000" w:rsidP="00000000" w:rsidRDefault="00000000" w:rsidRPr="00000000" w14:paraId="00000092">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N.A. Astashova, S.K. Bondyreva, O.V. Malkina, J. Fund. App. Sci. </w:t>
      </w:r>
      <w:r w:rsidDel="00000000" w:rsidR="00000000" w:rsidRPr="00000000">
        <w:rPr>
          <w:rFonts w:ascii="Times New Roman" w:cs="Times New Roman" w:eastAsia="Times New Roman" w:hAnsi="Times New Roman"/>
          <w:b w:val="1"/>
          <w:highlight w:val="yellow"/>
          <w:rtl w:val="0"/>
        </w:rPr>
        <w:t xml:space="preserve">9(7S)</w:t>
      </w:r>
      <w:r w:rsidDel="00000000" w:rsidR="00000000" w:rsidRPr="00000000">
        <w:rPr>
          <w:rFonts w:ascii="Times New Roman" w:cs="Times New Roman" w:eastAsia="Times New Roman" w:hAnsi="Times New Roman"/>
          <w:highlight w:val="yellow"/>
          <w:rtl w:val="0"/>
        </w:rPr>
        <w:t xml:space="preserve">, 1392-1418 (2017). https://doi.org/10.4314/jfas.v9i7s.126</w:t>
      </w:r>
    </w:p>
    <w:p w:rsidR="00000000" w:rsidDel="00000000" w:rsidP="00000000" w:rsidRDefault="00000000" w:rsidRPr="00000000" w14:paraId="00000093">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1"/>
          <w:highlight w:val="yellow"/>
          <w:rtl w:val="0"/>
        </w:rPr>
        <w:t xml:space="preserve">Sistemnaya modernizatsiya pedagogicheskogo obrazovaniya Respubliki Kazakhstan: problemy, puti resheniya</w:t>
      </w:r>
      <w:r w:rsidDel="00000000" w:rsidR="00000000" w:rsidRPr="00000000">
        <w:rPr>
          <w:rFonts w:ascii="Times New Roman" w:cs="Times New Roman" w:eastAsia="Times New Roman" w:hAnsi="Times New Roman"/>
          <w:highlight w:val="yellow"/>
          <w:rtl w:val="0"/>
        </w:rPr>
        <w:t xml:space="preserve"> [Systemic modernization of pedagogical education in the Republic of Kazakhstan: problems, solutions], in Proc. international scientific and practical conference (Almaty, 2016)</w:t>
      </w:r>
    </w:p>
    <w:p w:rsidR="00000000" w:rsidDel="00000000" w:rsidP="00000000" w:rsidRDefault="00000000" w:rsidRPr="00000000" w14:paraId="00000094">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1"/>
          <w:highlight w:val="yellow"/>
          <w:rtl w:val="0"/>
        </w:rPr>
        <w:t xml:space="preserve">Metodologiya i praktika stanovleniya konkurentosposobnogo vysshego pedagogicheskogo obrazovaniya</w:t>
      </w:r>
      <w:r w:rsidDel="00000000" w:rsidR="00000000" w:rsidRPr="00000000">
        <w:rPr>
          <w:rFonts w:ascii="Times New Roman" w:cs="Times New Roman" w:eastAsia="Times New Roman" w:hAnsi="Times New Roman"/>
          <w:highlight w:val="yellow"/>
          <w:rtl w:val="0"/>
        </w:rPr>
        <w:t xml:space="preserve"> [Methodology and Practice of the Formation of Competitive Higher Pedagogical Education], in Proc. international scientific and practical conference (Abay KNPU, Almaty, 2018)</w:t>
      </w:r>
    </w:p>
    <w:p w:rsidR="00000000" w:rsidDel="00000000" w:rsidP="00000000" w:rsidRDefault="00000000" w:rsidRPr="00000000" w14:paraId="00000095">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 Díaz-Iso, A. Eizaguirre, A. García-Olalla, Sustainability, </w:t>
      </w:r>
      <w:r w:rsidDel="00000000" w:rsidR="00000000" w:rsidRPr="00000000">
        <w:rPr>
          <w:rFonts w:ascii="Times New Roman" w:cs="Times New Roman" w:eastAsia="Times New Roman" w:hAnsi="Times New Roman"/>
          <w:b w:val="1"/>
          <w:highlight w:val="yellow"/>
          <w:rtl w:val="0"/>
        </w:rPr>
        <w:t xml:space="preserve">11(17)</w:t>
      </w:r>
      <w:r w:rsidDel="00000000" w:rsidR="00000000" w:rsidRPr="00000000">
        <w:rPr>
          <w:rFonts w:ascii="Times New Roman" w:cs="Times New Roman" w:eastAsia="Times New Roman" w:hAnsi="Times New Roman"/>
          <w:highlight w:val="yellow"/>
          <w:rtl w:val="0"/>
        </w:rPr>
        <w:t xml:space="preserve">, 4521 (2019). </w:t>
      </w:r>
      <w:hyperlink r:id="rId8">
        <w:r w:rsidDel="00000000" w:rsidR="00000000" w:rsidRPr="00000000">
          <w:rPr>
            <w:rFonts w:ascii="Times New Roman" w:cs="Times New Roman" w:eastAsia="Times New Roman" w:hAnsi="Times New Roman"/>
            <w:color w:val="0000ff"/>
            <w:highlight w:val="yellow"/>
            <w:u w:val="single"/>
            <w:rtl w:val="0"/>
          </w:rPr>
          <w:t xml:space="preserve">https://doi.org/10.3390/su11174521</w:t>
        </w:r>
      </w:hyperlink>
      <w:r w:rsidDel="00000000" w:rsidR="00000000" w:rsidRPr="00000000">
        <w:rPr>
          <w:rtl w:val="0"/>
        </w:rPr>
      </w:r>
    </w:p>
    <w:p w:rsidR="00000000" w:rsidDel="00000000" w:rsidP="00000000" w:rsidRDefault="00000000" w:rsidRPr="00000000" w14:paraId="00000096">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R. Ju, et al., EURASIA J. Math., Sci and Tech. Edu. </w:t>
      </w:r>
      <w:r w:rsidDel="00000000" w:rsidR="00000000" w:rsidRPr="00000000">
        <w:rPr>
          <w:rFonts w:ascii="Times New Roman" w:cs="Times New Roman" w:eastAsia="Times New Roman" w:hAnsi="Times New Roman"/>
          <w:b w:val="1"/>
          <w:highlight w:val="yellow"/>
          <w:rtl w:val="0"/>
        </w:rPr>
        <w:t xml:space="preserve">13(8)</w:t>
      </w:r>
      <w:r w:rsidDel="00000000" w:rsidR="00000000" w:rsidRPr="00000000">
        <w:rPr>
          <w:rFonts w:ascii="Times New Roman" w:cs="Times New Roman" w:eastAsia="Times New Roman" w:hAnsi="Times New Roman"/>
          <w:highlight w:val="yellow"/>
          <w:rtl w:val="0"/>
        </w:rPr>
        <w:t xml:space="preserve">, 5281-5293 (2017). https://doi.org/10.12973/eurasia.2017.01003a</w:t>
      </w:r>
    </w:p>
    <w:p w:rsidR="00000000" w:rsidDel="00000000" w:rsidP="00000000" w:rsidRDefault="00000000" w:rsidRPr="00000000" w14:paraId="00000097">
      <w:pPr>
        <w:numPr>
          <w:ilvl w:val="0"/>
          <w:numId w:val="3"/>
        </w:numPr>
        <w:ind w:left="1429"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R. Raaper, Teach. Higher Edu. </w:t>
      </w:r>
      <w:r w:rsidDel="00000000" w:rsidR="00000000" w:rsidRPr="00000000">
        <w:rPr>
          <w:rFonts w:ascii="Times New Roman" w:cs="Times New Roman" w:eastAsia="Times New Roman" w:hAnsi="Times New Roman"/>
          <w:b w:val="1"/>
          <w:highlight w:val="yellow"/>
          <w:rtl w:val="0"/>
        </w:rPr>
        <w:t xml:space="preserve">24(1)</w:t>
      </w:r>
      <w:r w:rsidDel="00000000" w:rsidR="00000000" w:rsidRPr="00000000">
        <w:rPr>
          <w:rFonts w:ascii="Times New Roman" w:cs="Times New Roman" w:eastAsia="Times New Roman" w:hAnsi="Times New Roman"/>
          <w:highlight w:val="yellow"/>
          <w:rtl w:val="0"/>
        </w:rPr>
        <w:t xml:space="preserve">, 1-16 (2019). https://doi.org/10.1080/13562517.2018.1456421</w:t>
      </w:r>
    </w:p>
    <w:p w:rsidR="00000000" w:rsidDel="00000000" w:rsidP="00000000" w:rsidRDefault="00000000" w:rsidRPr="00000000" w14:paraId="0000009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highlight w:val="yellow"/>
          <w:rtl w:val="0"/>
        </w:rPr>
        <w:t xml:space="preserve">Примечание:  </w:t>
      </w:r>
      <w:r w:rsidDel="00000000" w:rsidR="00000000" w:rsidRPr="00000000">
        <w:rPr>
          <w:rFonts w:ascii="Times New Roman" w:cs="Times New Roman" w:eastAsia="Times New Roman" w:hAnsi="Times New Roman"/>
          <w:b w:val="1"/>
          <w:sz w:val="20"/>
          <w:szCs w:val="20"/>
          <w:highlight w:val="yellow"/>
          <w:rtl w:val="0"/>
        </w:rPr>
        <w:t xml:space="preserve">ВЕСЬ ТЕКСТ, ВЫДЕЛЕННЫЙ ЖЕЛТЫМ ЦВЕТОМ, ТРЕБУЕТСЯ УДАЛИТЬ</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Если вы не хотите использовать шаблон, будьте добры, оформите вашу статью по следующим параметрам:</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Название статьи:</w:t>
      </w:r>
      <w:r w:rsidDel="00000000" w:rsidR="00000000" w:rsidRPr="00000000">
        <w:rPr>
          <w:rFonts w:ascii="Times New Roman" w:cs="Times New Roman" w:eastAsia="Times New Roman" w:hAnsi="Times New Roman"/>
          <w:rtl w:val="0"/>
        </w:rPr>
        <w:t xml:space="preserve"> Times New Roman, 17, выравнивание по левому краю, отступы: до — 80 pt, после — 25 pt.</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664328" cy="3488545"/>
            <wp:effectExtent b="0" l="0" r="0" t="0"/>
            <wp:docPr descr="Graphical user interface, text, application, email&#10;&#10;Description automatically generated" id="3" name="image4.jpg"/>
            <a:graphic>
              <a:graphicData uri="http://schemas.openxmlformats.org/drawingml/2006/picture">
                <pic:pic>
                  <pic:nvPicPr>
                    <pic:cNvPr descr="Graphical user interface, text, application, email&#10;&#10;Description automatically generated" id="0" name="image4.jpg"/>
                    <pic:cNvPicPr preferRelativeResize="0"/>
                  </pic:nvPicPr>
                  <pic:blipFill>
                    <a:blip r:embed="rId9"/>
                    <a:srcRect b="0" l="0" r="0" t="0"/>
                    <a:stretch>
                      <a:fillRect/>
                    </a:stretch>
                  </pic:blipFill>
                  <pic:spPr>
                    <a:xfrm>
                      <a:off x="0" y="0"/>
                      <a:ext cx="2664328" cy="3488545"/>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Имена авторов:</w:t>
      </w:r>
      <w:r w:rsidDel="00000000" w:rsidR="00000000" w:rsidRPr="00000000">
        <w:rPr>
          <w:rFonts w:ascii="Times New Roman" w:cs="Times New Roman" w:eastAsia="Times New Roman" w:hAnsi="Times New Roman"/>
          <w:rtl w:val="0"/>
        </w:rPr>
        <w:t xml:space="preserve"> Times New Roman, 11, выравнивание и отступы как на рисунке</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677955" cy="3564043"/>
            <wp:effectExtent b="0" l="0" r="0" t="0"/>
            <wp:docPr descr="Graphical user interface, text, application&#10;&#10;Description automatically generated" id="2" name="image5.jpg"/>
            <a:graphic>
              <a:graphicData uri="http://schemas.openxmlformats.org/drawingml/2006/picture">
                <pic:pic>
                  <pic:nvPicPr>
                    <pic:cNvPr descr="Graphical user interface, text, application&#10;&#10;Description automatically generated" id="0" name="image5.jpg"/>
                    <pic:cNvPicPr preferRelativeResize="0"/>
                  </pic:nvPicPr>
                  <pic:blipFill>
                    <a:blip r:embed="rId10"/>
                    <a:srcRect b="0" l="0" r="0" t="0"/>
                    <a:stretch>
                      <a:fillRect/>
                    </a:stretch>
                  </pic:blipFill>
                  <pic:spPr>
                    <a:xfrm>
                      <a:off x="0" y="0"/>
                      <a:ext cx="2677955" cy="3564043"/>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Институты, имейл адреса авторов:</w:t>
      </w:r>
      <w:r w:rsidDel="00000000" w:rsidR="00000000" w:rsidRPr="00000000">
        <w:rPr>
          <w:rFonts w:ascii="Times New Roman" w:cs="Times New Roman" w:eastAsia="Times New Roman" w:hAnsi="Times New Roman"/>
          <w:rtl w:val="0"/>
        </w:rPr>
        <w:t xml:space="preserve"> Times New Roman, 11</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041246" cy="4032467"/>
            <wp:effectExtent b="0" l="0" r="0" t="0"/>
            <wp:docPr descr="Graphical user interface, text, application&#10;&#10;Description automatically generated" id="5" name="image7.jpg"/>
            <a:graphic>
              <a:graphicData uri="http://schemas.openxmlformats.org/drawingml/2006/picture">
                <pic:pic>
                  <pic:nvPicPr>
                    <pic:cNvPr descr="Graphical user interface, text, application&#10;&#10;Description automatically generated" id="0" name="image7.jpg"/>
                    <pic:cNvPicPr preferRelativeResize="0"/>
                  </pic:nvPicPr>
                  <pic:blipFill>
                    <a:blip r:embed="rId11"/>
                    <a:srcRect b="0" l="0" r="0" t="0"/>
                    <a:stretch>
                      <a:fillRect/>
                    </a:stretch>
                  </pic:blipFill>
                  <pic:spPr>
                    <a:xfrm>
                      <a:off x="0" y="0"/>
                      <a:ext cx="3041246" cy="4032467"/>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w:t>
      </w:r>
      <w:r w:rsidDel="00000000" w:rsidR="00000000" w:rsidRPr="00000000">
        <w:rPr>
          <w:rFonts w:ascii="Times New Roman" w:cs="Times New Roman" w:eastAsia="Times New Roman" w:hAnsi="Times New Roman"/>
          <w:rtl w:val="0"/>
        </w:rPr>
        <w:t xml:space="preserve">. Times New Roman, 10, выравнивание и отступы как на рисунке</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692128" cy="3537102"/>
            <wp:effectExtent b="0" l="0" r="0" t="0"/>
            <wp:docPr descr="Graphical user interface, text, application, email&#10;&#10;Description automatically generated" id="4" name="image2.jpg"/>
            <a:graphic>
              <a:graphicData uri="http://schemas.openxmlformats.org/drawingml/2006/picture">
                <pic:pic>
                  <pic:nvPicPr>
                    <pic:cNvPr descr="Graphical user interface, text, application, email&#10;&#10;Description automatically generated" id="0" name="image2.jpg"/>
                    <pic:cNvPicPr preferRelativeResize="0"/>
                  </pic:nvPicPr>
                  <pic:blipFill>
                    <a:blip r:embed="rId12"/>
                    <a:srcRect b="0" l="0" r="0" t="0"/>
                    <a:stretch>
                      <a:fillRect/>
                    </a:stretch>
                  </pic:blipFill>
                  <pic:spPr>
                    <a:xfrm>
                      <a:off x="0" y="0"/>
                      <a:ext cx="2692128" cy="3537102"/>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w:t>
      </w:r>
      <w:r w:rsidDel="00000000" w:rsidR="00000000" w:rsidRPr="00000000">
        <w:rPr>
          <w:rFonts w:ascii="Times New Roman" w:cs="Times New Roman" w:eastAsia="Times New Roman" w:hAnsi="Times New Roman"/>
          <w:rtl w:val="0"/>
        </w:rPr>
        <w:t xml:space="preserve">  Times New Roman, 10, выравнивание и отступы как на рисунке</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787537" cy="3737365"/>
            <wp:effectExtent b="0" l="0" r="0" t="0"/>
            <wp:docPr descr="Graphical user interface, text, application, email&#10;&#10;Description automatically generated" id="7" name="image6.jpg"/>
            <a:graphic>
              <a:graphicData uri="http://schemas.openxmlformats.org/drawingml/2006/picture">
                <pic:pic>
                  <pic:nvPicPr>
                    <pic:cNvPr descr="Graphical user interface, text, application, email&#10;&#10;Description automatically generated" id="0" name="image6.jpg"/>
                    <pic:cNvPicPr preferRelativeResize="0"/>
                  </pic:nvPicPr>
                  <pic:blipFill>
                    <a:blip r:embed="rId13"/>
                    <a:srcRect b="0" l="0" r="0" t="0"/>
                    <a:stretch>
                      <a:fillRect/>
                    </a:stretch>
                  </pic:blipFill>
                  <pic:spPr>
                    <a:xfrm>
                      <a:off x="0" y="0"/>
                      <a:ext cx="2787537" cy="3737365"/>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Все заголовки в вашей статье:</w:t>
      </w:r>
      <w:r w:rsidDel="00000000" w:rsidR="00000000" w:rsidRPr="00000000">
        <w:rPr>
          <w:rFonts w:ascii="Times New Roman" w:cs="Times New Roman" w:eastAsia="Times New Roman" w:hAnsi="Times New Roman"/>
          <w:rtl w:val="0"/>
        </w:rPr>
        <w:t xml:space="preserve"> Times New Roman, 11, Bold</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820699" cy="3754021"/>
            <wp:effectExtent b="0" l="0" r="0" t="0"/>
            <wp:docPr descr="Graphical user interface, text, application&#10;&#10;Description automatically generated" id="6" name="image8.jpg"/>
            <a:graphic>
              <a:graphicData uri="http://schemas.openxmlformats.org/drawingml/2006/picture">
                <pic:pic>
                  <pic:nvPicPr>
                    <pic:cNvPr descr="Graphical user interface, text, application&#10;&#10;Description automatically generated" id="0" name="image8.jpg"/>
                    <pic:cNvPicPr preferRelativeResize="0"/>
                  </pic:nvPicPr>
                  <pic:blipFill>
                    <a:blip r:embed="rId14"/>
                    <a:srcRect b="0" l="0" r="0" t="0"/>
                    <a:stretch>
                      <a:fillRect/>
                    </a:stretch>
                  </pic:blipFill>
                  <pic:spPr>
                    <a:xfrm>
                      <a:off x="0" y="0"/>
                      <a:ext cx="2820699" cy="3754021"/>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Основной текст:</w:t>
      </w:r>
      <w:r w:rsidDel="00000000" w:rsidR="00000000" w:rsidRPr="00000000">
        <w:rPr>
          <w:rFonts w:ascii="Times New Roman" w:cs="Times New Roman" w:eastAsia="Times New Roman" w:hAnsi="Times New Roman"/>
          <w:rtl w:val="0"/>
        </w:rPr>
        <w:t xml:space="preserve"> Times New Roman, 11</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745501" cy="3715717"/>
            <wp:effectExtent b="0" l="0" r="0" t="0"/>
            <wp:docPr descr="Graphical user interface, text, email&#10;&#10;Description automatically generated" id="8" name="image3.jpg"/>
            <a:graphic>
              <a:graphicData uri="http://schemas.openxmlformats.org/drawingml/2006/picture">
                <pic:pic>
                  <pic:nvPicPr>
                    <pic:cNvPr descr="Graphical user interface, text, email&#10;&#10;Description automatically generated" id="0" name="image3.jpg"/>
                    <pic:cNvPicPr preferRelativeResize="0"/>
                  </pic:nvPicPr>
                  <pic:blipFill>
                    <a:blip r:embed="rId15"/>
                    <a:srcRect b="0" l="0" r="0" t="0"/>
                    <a:stretch>
                      <a:fillRect/>
                    </a:stretch>
                  </pic:blipFill>
                  <pic:spPr>
                    <a:xfrm>
                      <a:off x="0" y="0"/>
                      <a:ext cx="2745501" cy="3715717"/>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Обратите внимание, все подписи к рисункам, схемам и иллюстрациям, а также содержание таблиц, выполнено в Times New Roman, 10.</w:t>
      </w:r>
      <w:r w:rsidDel="00000000" w:rsidR="00000000" w:rsidRPr="00000000">
        <w:rPr>
          <w:rtl w:val="0"/>
        </w:rPr>
      </w:r>
    </w:p>
    <w:sectPr>
      <w:headerReference r:id="rId16" w:type="default"/>
      <w:headerReference r:id="rId17" w:type="even"/>
      <w:pgSz w:h="16840" w:w="11907" w:orient="portrait"/>
      <w:pgMar w:bottom="1531" w:top="2268" w:left="1418" w:right="141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19" w:hanging="360"/>
      </w:pPr>
      <w:rPr>
        <w:sz w:val="18"/>
        <w:szCs w:val="18"/>
      </w:rPr>
    </w:lvl>
    <w:lvl w:ilvl="1">
      <w:start w:val="1"/>
      <w:numFmt w:val="bullet"/>
      <w:lvlText w:val="o"/>
      <w:lvlJc w:val="left"/>
      <w:pPr>
        <w:ind w:left="1739" w:hanging="360"/>
      </w:pPr>
      <w:rPr>
        <w:rFonts w:ascii="Courier New" w:cs="Courier New" w:eastAsia="Courier New" w:hAnsi="Courier New"/>
      </w:rPr>
    </w:lvl>
    <w:lvl w:ilvl="2">
      <w:start w:val="1"/>
      <w:numFmt w:val="bullet"/>
      <w:lvlText w:val="▪"/>
      <w:lvlJc w:val="left"/>
      <w:pPr>
        <w:ind w:left="2459" w:hanging="360"/>
      </w:pPr>
      <w:rPr>
        <w:rFonts w:ascii="Noto Sans Symbols" w:cs="Noto Sans Symbols" w:eastAsia="Noto Sans Symbols" w:hAnsi="Noto Sans Symbols"/>
      </w:rPr>
    </w:lvl>
    <w:lvl w:ilvl="3">
      <w:start w:val="1"/>
      <w:numFmt w:val="bullet"/>
      <w:lvlText w:val="●"/>
      <w:lvlJc w:val="left"/>
      <w:pPr>
        <w:ind w:left="3179" w:hanging="360"/>
      </w:pPr>
      <w:rPr>
        <w:rFonts w:ascii="Noto Sans Symbols" w:cs="Noto Sans Symbols" w:eastAsia="Noto Sans Symbols" w:hAnsi="Noto Sans Symbols"/>
      </w:rPr>
    </w:lvl>
    <w:lvl w:ilvl="4">
      <w:start w:val="1"/>
      <w:numFmt w:val="bullet"/>
      <w:lvlText w:val="o"/>
      <w:lvlJc w:val="left"/>
      <w:pPr>
        <w:ind w:left="3899" w:hanging="360"/>
      </w:pPr>
      <w:rPr>
        <w:rFonts w:ascii="Courier New" w:cs="Courier New" w:eastAsia="Courier New" w:hAnsi="Courier New"/>
      </w:rPr>
    </w:lvl>
    <w:lvl w:ilvl="5">
      <w:start w:val="1"/>
      <w:numFmt w:val="bullet"/>
      <w:lvlText w:val="▪"/>
      <w:lvlJc w:val="left"/>
      <w:pPr>
        <w:ind w:left="4619" w:hanging="360"/>
      </w:pPr>
      <w:rPr>
        <w:rFonts w:ascii="Noto Sans Symbols" w:cs="Noto Sans Symbols" w:eastAsia="Noto Sans Symbols" w:hAnsi="Noto Sans Symbols"/>
      </w:rPr>
    </w:lvl>
    <w:lvl w:ilvl="6">
      <w:start w:val="1"/>
      <w:numFmt w:val="bullet"/>
      <w:lvlText w:val="●"/>
      <w:lvlJc w:val="left"/>
      <w:pPr>
        <w:ind w:left="5339" w:hanging="360"/>
      </w:pPr>
      <w:rPr>
        <w:rFonts w:ascii="Noto Sans Symbols" w:cs="Noto Sans Symbols" w:eastAsia="Noto Sans Symbols" w:hAnsi="Noto Sans Symbols"/>
      </w:rPr>
    </w:lvl>
    <w:lvl w:ilvl="7">
      <w:start w:val="1"/>
      <w:numFmt w:val="bullet"/>
      <w:lvlText w:val="o"/>
      <w:lvlJc w:val="left"/>
      <w:pPr>
        <w:ind w:left="6059" w:hanging="360"/>
      </w:pPr>
      <w:rPr>
        <w:rFonts w:ascii="Courier New" w:cs="Courier New" w:eastAsia="Courier New" w:hAnsi="Courier New"/>
      </w:rPr>
    </w:lvl>
    <w:lvl w:ilvl="8">
      <w:start w:val="1"/>
      <w:numFmt w:val="bullet"/>
      <w:lvlText w:val="▪"/>
      <w:lvlJc w:val="left"/>
      <w:pPr>
        <w:ind w:left="6779" w:hanging="360"/>
      </w:pPr>
      <w:rPr>
        <w:rFonts w:ascii="Noto Sans Symbols" w:cs="Noto Sans Symbols" w:eastAsia="Noto Sans Symbols" w:hAnsi="Noto Sans Symbols"/>
      </w:rPr>
    </w:lvl>
  </w:abstractNum>
  <w:abstractNum w:abstractNumId="2">
    <w:lvl w:ilvl="0">
      <w:start w:val="1"/>
      <w:numFmt w:val="bullet"/>
      <w:lvlText w:val="●"/>
      <w:lvlJc w:val="left"/>
      <w:pPr>
        <w:ind w:left="1019" w:hanging="360"/>
      </w:pPr>
      <w:rPr>
        <w:rFonts w:ascii="Noto Sans Symbols" w:cs="Noto Sans Symbols" w:eastAsia="Noto Sans Symbols" w:hAnsi="Noto Sans Symbols"/>
        <w:sz w:val="18"/>
        <w:szCs w:val="18"/>
      </w:rPr>
    </w:lvl>
    <w:lvl w:ilvl="1">
      <w:start w:val="1"/>
      <w:numFmt w:val="bullet"/>
      <w:lvlText w:val="o"/>
      <w:lvlJc w:val="left"/>
      <w:pPr>
        <w:ind w:left="1739" w:hanging="360"/>
      </w:pPr>
      <w:rPr>
        <w:rFonts w:ascii="Courier New" w:cs="Courier New" w:eastAsia="Courier New" w:hAnsi="Courier New"/>
      </w:rPr>
    </w:lvl>
    <w:lvl w:ilvl="2">
      <w:start w:val="1"/>
      <w:numFmt w:val="bullet"/>
      <w:lvlText w:val="▪"/>
      <w:lvlJc w:val="left"/>
      <w:pPr>
        <w:ind w:left="2459" w:hanging="360"/>
      </w:pPr>
      <w:rPr>
        <w:rFonts w:ascii="Noto Sans Symbols" w:cs="Noto Sans Symbols" w:eastAsia="Noto Sans Symbols" w:hAnsi="Noto Sans Symbols"/>
      </w:rPr>
    </w:lvl>
    <w:lvl w:ilvl="3">
      <w:start w:val="1"/>
      <w:numFmt w:val="bullet"/>
      <w:lvlText w:val="●"/>
      <w:lvlJc w:val="left"/>
      <w:pPr>
        <w:ind w:left="3179" w:hanging="360"/>
      </w:pPr>
      <w:rPr>
        <w:rFonts w:ascii="Noto Sans Symbols" w:cs="Noto Sans Symbols" w:eastAsia="Noto Sans Symbols" w:hAnsi="Noto Sans Symbols"/>
      </w:rPr>
    </w:lvl>
    <w:lvl w:ilvl="4">
      <w:start w:val="1"/>
      <w:numFmt w:val="bullet"/>
      <w:lvlText w:val="o"/>
      <w:lvlJc w:val="left"/>
      <w:pPr>
        <w:ind w:left="3899" w:hanging="360"/>
      </w:pPr>
      <w:rPr>
        <w:rFonts w:ascii="Courier New" w:cs="Courier New" w:eastAsia="Courier New" w:hAnsi="Courier New"/>
      </w:rPr>
    </w:lvl>
    <w:lvl w:ilvl="5">
      <w:start w:val="1"/>
      <w:numFmt w:val="bullet"/>
      <w:lvlText w:val="▪"/>
      <w:lvlJc w:val="left"/>
      <w:pPr>
        <w:ind w:left="4619" w:hanging="360"/>
      </w:pPr>
      <w:rPr>
        <w:rFonts w:ascii="Noto Sans Symbols" w:cs="Noto Sans Symbols" w:eastAsia="Noto Sans Symbols" w:hAnsi="Noto Sans Symbols"/>
      </w:rPr>
    </w:lvl>
    <w:lvl w:ilvl="6">
      <w:start w:val="1"/>
      <w:numFmt w:val="bullet"/>
      <w:lvlText w:val="●"/>
      <w:lvlJc w:val="left"/>
      <w:pPr>
        <w:ind w:left="5339" w:hanging="360"/>
      </w:pPr>
      <w:rPr>
        <w:rFonts w:ascii="Noto Sans Symbols" w:cs="Noto Sans Symbols" w:eastAsia="Noto Sans Symbols" w:hAnsi="Noto Sans Symbols"/>
      </w:rPr>
    </w:lvl>
    <w:lvl w:ilvl="7">
      <w:start w:val="1"/>
      <w:numFmt w:val="bullet"/>
      <w:lvlText w:val="o"/>
      <w:lvlJc w:val="left"/>
      <w:pPr>
        <w:ind w:left="6059" w:hanging="360"/>
      </w:pPr>
      <w:rPr>
        <w:rFonts w:ascii="Courier New" w:cs="Courier New" w:eastAsia="Courier New" w:hAnsi="Courier New"/>
      </w:rPr>
    </w:lvl>
    <w:lvl w:ilvl="8">
      <w:start w:val="1"/>
      <w:numFmt w:val="bullet"/>
      <w:lvlText w:val="▪"/>
      <w:lvlJc w:val="left"/>
      <w:pPr>
        <w:ind w:left="6779" w:hanging="360"/>
      </w:pPr>
      <w:rPr>
        <w:rFonts w:ascii="Noto Sans Symbols" w:cs="Noto Sans Symbols" w:eastAsia="Noto Sans Symbols" w:hAnsi="Noto Sans Symbols"/>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
    <w:lvl w:ilvl="0">
      <w:start w:val="1"/>
      <w:numFmt w:val="decimal"/>
      <w:lvlText w:val="%1.  "/>
      <w:lvlJc w:val="left"/>
      <w:pPr>
        <w:ind w:left="0" w:firstLine="0"/>
      </w:pPr>
      <w:rPr/>
    </w:lvl>
    <w:lvl w:ilvl="1">
      <w:start w:val="1"/>
      <w:numFmt w:val="decimal"/>
      <w:lvlText w:val="%1.%2.  "/>
      <w:lvlJc w:val="left"/>
      <w:pPr>
        <w:ind w:left="0" w:firstLine="0"/>
      </w:pPr>
      <w:rPr/>
    </w:lvl>
    <w:lvl w:ilvl="2">
      <w:start w:val="1"/>
      <w:numFmt w:val="decimal"/>
      <w:lvlText w:val="%1.%2.%3.  "/>
      <w:lvlJc w:val="left"/>
      <w:pPr>
        <w:ind w:left="0" w:firstLine="142"/>
      </w:pPr>
      <w:rPr>
        <w:i w:val="1"/>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0" w:firstLine="0"/>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Times" w:cs="Times" w:eastAsia="Times" w:hAnsi="Times"/>
      <w:b w:val="0"/>
      <w:i w:val="1"/>
      <w:smallCaps w:val="0"/>
      <w:strike w:val="0"/>
      <w:color w:val="000000"/>
      <w:sz w:val="22"/>
      <w:szCs w:val="22"/>
      <w:u w:val="none"/>
      <w:shd w:fill="auto" w:val="clear"/>
      <w:vertAlign w:val="baseline"/>
    </w:rPr>
  </w:style>
  <w:style w:type="paragraph" w:styleId="Heading3">
    <w:name w:val="heading 3"/>
    <w:basedOn w:val="Normal"/>
    <w:next w:val="Normal"/>
    <w:pPr>
      <w:keepNext w:val="1"/>
      <w:spacing w:after="60" w:before="240" w:lineRule="auto"/>
      <w:ind w:left="720" w:hanging="432"/>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144.00000000000006"/>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1008" w:hanging="432"/>
    </w:pPr>
    <w:rPr>
      <w:b w:val="1"/>
      <w:i w:val="1"/>
      <w:sz w:val="26"/>
      <w:szCs w:val="26"/>
    </w:rPr>
  </w:style>
  <w:style w:type="paragraph" w:styleId="Heading6">
    <w:name w:val="heading 6"/>
    <w:basedOn w:val="Normal"/>
    <w:next w:val="Normal"/>
    <w:pPr>
      <w:spacing w:after="60" w:before="240" w:lineRule="auto"/>
      <w:ind w:left="1152" w:hanging="432"/>
    </w:pPr>
    <w:rPr>
      <w:rFonts w:ascii="Times New Roman" w:cs="Times New Roman" w:eastAsia="Times New Roman" w:hAnsi="Times New Roman"/>
      <w:b w:val="1"/>
    </w:rPr>
  </w:style>
  <w:style w:type="paragraph" w:styleId="Title">
    <w:name w:val="Title"/>
    <w:basedOn w:val="Normal"/>
    <w:next w:val="Normal"/>
    <w:pPr>
      <w:spacing w:after="567" w:before="1588" w:lineRule="auto"/>
    </w:pPr>
    <w:rPr>
      <w:b w:val="1"/>
      <w:sz w:val="34"/>
      <w:szCs w:val="34"/>
    </w:rPr>
  </w:style>
  <w:style w:type="paragraph" w:styleId="Subtitle">
    <w:name w:val="Subtitle"/>
    <w:basedOn w:val="Normal"/>
    <w:next w:val="Normal"/>
    <w:pPr>
      <w:spacing w:after="160" w:lineRule="auto"/>
    </w:pPr>
    <w:rPr>
      <w:rFonts w:ascii="Calibri" w:cs="Calibri" w:eastAsia="Calibri" w:hAnsi="Calibri"/>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5.jpg"/><Relationship Id="rId13" Type="http://schemas.openxmlformats.org/officeDocument/2006/relationships/image" Target="media/image6.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image" Target="media/image3.jpg"/><Relationship Id="rId14" Type="http://schemas.openxmlformats.org/officeDocument/2006/relationships/image" Target="media/image8.jp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library.sacredheart.edu/c.php?g=29803&amp;p=185902" TargetMode="External"/><Relationship Id="rId7" Type="http://schemas.openxmlformats.org/officeDocument/2006/relationships/image" Target="media/image1.jpg"/><Relationship Id="rId8" Type="http://schemas.openxmlformats.org/officeDocument/2006/relationships/hyperlink" Target="https://doi.org/10.3390/su11174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